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09950DB4"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CA4940" w:rsidRPr="00CA4940">
        <w:rPr>
          <w:rFonts w:ascii="Arial" w:hAnsi="Arial" w:cs="Arial"/>
          <w:sz w:val="24"/>
          <w:szCs w:val="24"/>
        </w:rPr>
        <w:t>R4-1909219</w:t>
      </w:r>
    </w:p>
    <w:p w14:paraId="3363D018" w14:textId="1BBA9C60" w:rsidR="004A1031" w:rsidRDefault="00FE2F4F" w:rsidP="004A1031">
      <w:pPr>
        <w:tabs>
          <w:tab w:val="left" w:pos="1985"/>
        </w:tabs>
        <w:rPr>
          <w:rFonts w:ascii="Arial" w:hAnsi="Arial" w:cs="Arial"/>
          <w:sz w:val="24"/>
          <w:szCs w:val="24"/>
        </w:rPr>
      </w:pPr>
      <w:r w:rsidRPr="00FE2F4F">
        <w:rPr>
          <w:rFonts w:ascii="Arial" w:hAnsi="Arial" w:cs="Arial"/>
          <w:sz w:val="24"/>
          <w:szCs w:val="24"/>
        </w:rPr>
        <w:t>Ljubljana</w:t>
      </w:r>
      <w:r w:rsidR="004A1031">
        <w:rPr>
          <w:rFonts w:ascii="Arial" w:hAnsi="Arial" w:cs="Arial"/>
          <w:sz w:val="24"/>
          <w:szCs w:val="24"/>
        </w:rPr>
        <w:t xml:space="preserve">, </w:t>
      </w:r>
      <w:r>
        <w:rPr>
          <w:rFonts w:ascii="Arial" w:hAnsi="Arial" w:cs="Arial"/>
          <w:sz w:val="24"/>
          <w:szCs w:val="24"/>
        </w:rPr>
        <w:t>Slovenia</w:t>
      </w:r>
      <w:r w:rsidR="004A1031">
        <w:rPr>
          <w:rFonts w:ascii="Arial" w:hAnsi="Arial" w:cs="Arial"/>
          <w:sz w:val="24"/>
          <w:szCs w:val="24"/>
        </w:rPr>
        <w:t xml:space="preserve">, </w:t>
      </w:r>
      <w:r w:rsidR="0045303F">
        <w:rPr>
          <w:rFonts w:ascii="Arial" w:hAnsi="Arial" w:cs="Arial"/>
          <w:sz w:val="24"/>
          <w:szCs w:val="24"/>
        </w:rPr>
        <w:t>26</w:t>
      </w:r>
      <w:r w:rsidR="004A1031" w:rsidRPr="00794E13">
        <w:rPr>
          <w:rFonts w:ascii="Arial" w:hAnsi="Arial" w:cs="Arial"/>
          <w:sz w:val="24"/>
          <w:szCs w:val="24"/>
          <w:vertAlign w:val="superscript"/>
        </w:rPr>
        <w:t>th</w:t>
      </w:r>
      <w:r w:rsidR="004A1031">
        <w:rPr>
          <w:rFonts w:ascii="Arial" w:hAnsi="Arial" w:cs="Arial"/>
          <w:sz w:val="24"/>
          <w:szCs w:val="24"/>
        </w:rPr>
        <w:t xml:space="preserve"> – </w:t>
      </w:r>
      <w:r w:rsidR="0045303F">
        <w:rPr>
          <w:rFonts w:ascii="Arial" w:hAnsi="Arial" w:cs="Arial"/>
          <w:sz w:val="24"/>
          <w:szCs w:val="24"/>
        </w:rPr>
        <w:t>30</w:t>
      </w:r>
      <w:r w:rsidR="004A1031" w:rsidRPr="00CA7D4B">
        <w:rPr>
          <w:rFonts w:ascii="Arial" w:hAnsi="Arial" w:cs="Arial"/>
          <w:sz w:val="24"/>
          <w:szCs w:val="24"/>
          <w:vertAlign w:val="superscript"/>
        </w:rPr>
        <w:t>th</w:t>
      </w:r>
      <w:r w:rsidR="004A1031">
        <w:rPr>
          <w:rFonts w:ascii="Arial" w:hAnsi="Arial" w:cs="Arial"/>
          <w:sz w:val="24"/>
          <w:szCs w:val="24"/>
        </w:rPr>
        <w:t xml:space="preserve"> </w:t>
      </w:r>
      <w:r w:rsidR="0045303F">
        <w:rPr>
          <w:rFonts w:ascii="Arial" w:hAnsi="Arial" w:cs="Arial"/>
          <w:sz w:val="24"/>
          <w:szCs w:val="24"/>
        </w:rPr>
        <w:t>August</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910AB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 xml:space="preserve">Sony, </w:t>
      </w:r>
      <w:r w:rsidRPr="00D43AD7">
        <w:rPr>
          <w:rFonts w:ascii="Arial" w:hAnsi="Arial" w:cs="Arial"/>
          <w:bCs/>
        </w:rPr>
        <w:t>Ericsson</w:t>
      </w:r>
    </w:p>
    <w:p w14:paraId="540E6165" w14:textId="0B66FABB"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06300" w:rsidRPr="00D43AD7">
        <w:rPr>
          <w:rFonts w:ascii="Arial" w:hAnsi="Arial" w:cs="Arial"/>
        </w:rPr>
        <w:t>Beam C</w:t>
      </w:r>
      <w:r w:rsidRPr="00D43AD7">
        <w:rPr>
          <w:rFonts w:ascii="Arial" w:hAnsi="Arial" w:cs="Arial"/>
        </w:rPr>
        <w:t>orrespondence</w:t>
      </w:r>
      <w:r w:rsidR="00373133" w:rsidRPr="00D43AD7">
        <w:rPr>
          <w:rFonts w:ascii="Arial" w:hAnsi="Arial" w:cs="Arial"/>
        </w:rPr>
        <w:t xml:space="preserve">, </w:t>
      </w:r>
      <w:r w:rsidR="0045303F">
        <w:rPr>
          <w:rFonts w:ascii="Arial" w:hAnsi="Arial" w:cs="Arial"/>
        </w:rPr>
        <w:t>SNR versus RSRP</w:t>
      </w:r>
    </w:p>
    <w:p w14:paraId="46BB346F" w14:textId="42812213"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47120">
        <w:rPr>
          <w:rFonts w:ascii="Arial" w:hAnsi="Arial" w:cs="Arial"/>
        </w:rPr>
        <w:t>9.13.2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9B64025" w14:textId="76E2E5A9" w:rsidR="00DA2C29" w:rsidRPr="00DA2C29" w:rsidRDefault="00C14BA0" w:rsidP="00F44E9A">
      <w:pPr>
        <w:pStyle w:val="BodyText"/>
      </w:pPr>
      <w:r w:rsidRPr="00D43AD7">
        <w:t xml:space="preserve">Beam correspondence was </w:t>
      </w:r>
      <w:r>
        <w:t xml:space="preserve">further </w:t>
      </w:r>
      <w:r w:rsidRPr="00D43AD7">
        <w:t xml:space="preserve">discussed </w:t>
      </w:r>
      <w:r>
        <w:t>in RAN4 #</w:t>
      </w:r>
      <w:r w:rsidR="00F44E9A">
        <w:t>91</w:t>
      </w:r>
      <w:r>
        <w:t xml:space="preserve"> in </w:t>
      </w:r>
      <w:r w:rsidR="00F44E9A">
        <w:t>Reno</w:t>
      </w:r>
      <w:r>
        <w:t xml:space="preserve"> </w:t>
      </w:r>
      <w:r w:rsidR="00F44E9A">
        <w:t>and most of the specification item</w:t>
      </w:r>
      <w:r w:rsidR="003A3639">
        <w:t>s</w:t>
      </w:r>
      <w:r w:rsidR="00F44E9A">
        <w:t xml:space="preserve"> w</w:t>
      </w:r>
      <w:r w:rsidR="003A3639">
        <w:t>ere</w:t>
      </w:r>
      <w:r w:rsidR="00F44E9A">
        <w:t xml:space="preserve"> agreed</w:t>
      </w:r>
      <w:bookmarkStart w:id="0" w:name="_Ref4666338"/>
      <w:r w:rsidR="00DA2C29">
        <w:t xml:space="preserve"> </w:t>
      </w:r>
      <w:r w:rsidR="003A3639">
        <w:t xml:space="preserve">upon </w:t>
      </w:r>
      <w:r w:rsidR="00DA2C29">
        <w:fldChar w:fldCharType="begin"/>
      </w:r>
      <w:r w:rsidR="00DA2C29">
        <w:instrText xml:space="preserve"> REF _Ref16090396 \r \h </w:instrText>
      </w:r>
      <w:r w:rsidR="00DA2C29">
        <w:fldChar w:fldCharType="separate"/>
      </w:r>
      <w:r w:rsidR="00F435CE">
        <w:t>[1]</w:t>
      </w:r>
      <w:r w:rsidR="00DA2C29">
        <w:fldChar w:fldCharType="end"/>
      </w:r>
      <w:r w:rsidR="00DA2C29">
        <w:t xml:space="preserve">, </w:t>
      </w:r>
      <w:r w:rsidR="00DA2C29">
        <w:fldChar w:fldCharType="begin"/>
      </w:r>
      <w:r w:rsidR="00DA2C29">
        <w:instrText xml:space="preserve"> REF _Ref16090399 \r \h </w:instrText>
      </w:r>
      <w:r w:rsidR="00DA2C29">
        <w:fldChar w:fldCharType="separate"/>
      </w:r>
      <w:r w:rsidR="00F435CE">
        <w:t>[2]</w:t>
      </w:r>
      <w:r w:rsidR="00DA2C29">
        <w:fldChar w:fldCharType="end"/>
      </w:r>
      <w:r w:rsidR="00DA2C29">
        <w:t>.</w:t>
      </w:r>
      <w:r w:rsidR="00F44E9A" w:rsidRPr="00D45FAD">
        <w:rPr>
          <w:rFonts w:ascii="Arial" w:hAnsi="Arial"/>
          <w:sz w:val="36"/>
          <w:lang w:eastAsia="zh-CN"/>
        </w:rPr>
        <w:t xml:space="preserve"> </w:t>
      </w:r>
      <w:r w:rsidR="00DA2C29">
        <w:t xml:space="preserve">The analysis supporting the specification is described in </w:t>
      </w:r>
      <w:r w:rsidR="00DA2C29">
        <w:fldChar w:fldCharType="begin"/>
      </w:r>
      <w:r w:rsidR="00DA2C29">
        <w:instrText xml:space="preserve"> REF _Ref16090824 \r \h </w:instrText>
      </w:r>
      <w:r w:rsidR="00DA2C29">
        <w:fldChar w:fldCharType="separate"/>
      </w:r>
      <w:r w:rsidR="00F435CE">
        <w:t>[3]</w:t>
      </w:r>
      <w:r w:rsidR="00DA2C29">
        <w:fldChar w:fldCharType="end"/>
      </w:r>
      <w:r w:rsidR="00644783">
        <w:t xml:space="preserve"> where</w:t>
      </w:r>
      <w:r w:rsidR="0012619A">
        <w:t xml:space="preserve"> </w:t>
      </w:r>
      <w:r w:rsidR="007F2D9A">
        <w:t>simulations</w:t>
      </w:r>
      <w:r w:rsidR="00644783">
        <w:t>,</w:t>
      </w:r>
      <w:r w:rsidR="007F2D9A">
        <w:t xml:space="preserve"> performed by several contributing companies</w:t>
      </w:r>
      <w:r w:rsidR="00644783">
        <w:t>,</w:t>
      </w:r>
      <w:r w:rsidR="007F2D9A">
        <w:t xml:space="preserve"> are based on </w:t>
      </w:r>
      <w:r w:rsidR="003A3639">
        <w:t xml:space="preserve">imperfect </w:t>
      </w:r>
      <w:r w:rsidR="007F2D9A">
        <w:t>estimation of RSRP value</w:t>
      </w:r>
      <w:r w:rsidR="003A3639">
        <w:t>s</w:t>
      </w:r>
      <w:r w:rsidR="007F2D9A">
        <w:t xml:space="preserve"> and  pre-coder</w:t>
      </w:r>
      <w:r w:rsidR="003A3639">
        <w:t>s</w:t>
      </w:r>
      <w:r w:rsidR="007F2D9A">
        <w:t xml:space="preserve"> (beam former)</w:t>
      </w:r>
      <w:r w:rsidR="003A3639">
        <w:t>,</w:t>
      </w:r>
      <w:r w:rsidR="007F2D9A">
        <w:t xml:space="preserve">  agreed in RAN4 #91 BIS</w:t>
      </w:r>
      <w:r w:rsidR="00DA2C29">
        <w:t xml:space="preserve"> </w:t>
      </w:r>
      <w:r w:rsidR="00B062AF">
        <w:fldChar w:fldCharType="begin"/>
      </w:r>
      <w:r w:rsidR="00B062AF">
        <w:instrText xml:space="preserve"> REF _Ref16158973 \r \h </w:instrText>
      </w:r>
      <w:r w:rsidR="00B062AF">
        <w:fldChar w:fldCharType="separate"/>
      </w:r>
      <w:r w:rsidR="00F435CE">
        <w:t>[4]</w:t>
      </w:r>
      <w:r w:rsidR="00B062AF">
        <w:fldChar w:fldCharType="end"/>
      </w:r>
      <w:r w:rsidR="00B062AF">
        <w:t xml:space="preserve">, </w:t>
      </w:r>
      <w:r w:rsidR="00B062AF">
        <w:fldChar w:fldCharType="begin"/>
      </w:r>
      <w:r w:rsidR="00B062AF">
        <w:instrText xml:space="preserve"> REF _Ref16158976 \r \h </w:instrText>
      </w:r>
      <w:r w:rsidR="00B062AF">
        <w:fldChar w:fldCharType="separate"/>
      </w:r>
      <w:r w:rsidR="00F435CE">
        <w:t>[5]</w:t>
      </w:r>
      <w:r w:rsidR="00B062AF">
        <w:fldChar w:fldCharType="end"/>
      </w:r>
      <w:r w:rsidR="00B062AF">
        <w:t>.</w:t>
      </w:r>
      <w:r w:rsidR="00644783">
        <w:t xml:space="preserve"> To complete a comprehensive test specification</w:t>
      </w:r>
      <w:r w:rsidR="007B73BD">
        <w:t>, the side condition which includes</w:t>
      </w:r>
      <w:r w:rsidR="00644783">
        <w:t xml:space="preserve"> the </w:t>
      </w:r>
      <w:r w:rsidR="003A3639">
        <w:t xml:space="preserve">interplay among </w:t>
      </w:r>
      <w:r w:rsidR="00644783">
        <w:t>RSRP error</w:t>
      </w:r>
      <w:r w:rsidR="007B73BD">
        <w:t>, number of resource elements</w:t>
      </w:r>
      <w:r w:rsidR="00EF545F">
        <w:t xml:space="preserve"> (REs)</w:t>
      </w:r>
      <w:r w:rsidR="003A3639">
        <w:t>,</w:t>
      </w:r>
      <w:r w:rsidR="00644783">
        <w:t xml:space="preserve"> and SNR need to be understood.</w:t>
      </w:r>
    </w:p>
    <w:p w14:paraId="0755A468" w14:textId="6293C33F" w:rsidR="001B17CD" w:rsidRPr="00D45FAD" w:rsidRDefault="00630946" w:rsidP="00DA2C29">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D45FAD">
        <w:rPr>
          <w:rFonts w:ascii="Arial" w:hAnsi="Arial"/>
          <w:sz w:val="36"/>
          <w:lang w:eastAsia="zh-CN"/>
        </w:rPr>
        <w:t>Problem description</w:t>
      </w:r>
      <w:bookmarkEnd w:id="0"/>
    </w:p>
    <w:p w14:paraId="553E416E" w14:textId="7CA5D7E6" w:rsidR="00EE51A3" w:rsidRDefault="009323C2" w:rsidP="00630946">
      <w:pPr>
        <w:pStyle w:val="BodyText"/>
      </w:pPr>
      <w:r>
        <w:t xml:space="preserve">The </w:t>
      </w:r>
      <w:r w:rsidR="00294E4B">
        <w:t xml:space="preserve">general problem of estimation of the best (or suitable) UL beam based on UE measuring on DL synchronization signals </w:t>
      </w:r>
      <w:r>
        <w:t xml:space="preserve">is described in </w:t>
      </w:r>
      <w:r>
        <w:fldChar w:fldCharType="begin"/>
      </w:r>
      <w:r>
        <w:instrText xml:space="preserve"> REF _Ref7522263 \r \h </w:instrText>
      </w:r>
      <w:r>
        <w:fldChar w:fldCharType="separate"/>
      </w:r>
      <w:r w:rsidR="00F435CE">
        <w:t>[6]</w:t>
      </w:r>
      <w:r>
        <w:fldChar w:fldCharType="end"/>
      </w:r>
      <w:r>
        <w:t>.</w:t>
      </w:r>
      <w:r w:rsidR="00294E4B">
        <w:t xml:space="preserve"> The reasoning in </w:t>
      </w:r>
      <w:r w:rsidR="00294E4B">
        <w:fldChar w:fldCharType="begin"/>
      </w:r>
      <w:r w:rsidR="00294E4B">
        <w:instrText xml:space="preserve"> REF _Ref7522263 \r \h </w:instrText>
      </w:r>
      <w:r w:rsidR="00294E4B">
        <w:fldChar w:fldCharType="separate"/>
      </w:r>
      <w:r w:rsidR="00F435CE">
        <w:t>[6]</w:t>
      </w:r>
      <w:r w:rsidR="00294E4B">
        <w:fldChar w:fldCharType="end"/>
      </w:r>
      <w:r w:rsidR="00294E4B">
        <w:t xml:space="preserve"> (and further elaborated in </w:t>
      </w:r>
      <w:r w:rsidR="009B0DFD">
        <w:fldChar w:fldCharType="begin"/>
      </w:r>
      <w:r w:rsidR="009B0DFD">
        <w:instrText xml:space="preserve"> REF _Ref16163533 \r \h </w:instrText>
      </w:r>
      <w:r w:rsidR="009B0DFD">
        <w:fldChar w:fldCharType="separate"/>
      </w:r>
      <w:r w:rsidR="00F435CE">
        <w:t>[7]</w:t>
      </w:r>
      <w:r w:rsidR="009B0DFD">
        <w:fldChar w:fldCharType="end"/>
      </w:r>
      <w:r w:rsidR="009B0DFD">
        <w:t>) is based on an RSRP estimation error (log-</w:t>
      </w:r>
      <w:r w:rsidR="009B0DFD" w:rsidRPr="00EE51A3">
        <w:t>normal distribution</w:t>
      </w:r>
      <w:r w:rsidR="009B0DFD" w:rsidRPr="00D43AD7">
        <w:rPr>
          <w:rFonts w:asciiTheme="minorHAnsi" w:hAnsiTheme="minorHAnsi"/>
          <w:lang w:eastAsia="ja-JP"/>
        </w:rPr>
        <w:t xml:space="preserve"> </w:t>
      </w:r>
      <w:r w:rsidR="009B0DFD">
        <w:rPr>
          <w:lang w:eastAsia="ja-JP"/>
        </w:rPr>
        <w:t>μ</w:t>
      </w:r>
      <w:r w:rsidR="009B0DFD">
        <w:rPr>
          <w:rFonts w:asciiTheme="minorHAnsi" w:hAnsiTheme="minorHAnsi"/>
          <w:lang w:eastAsia="ja-JP"/>
        </w:rPr>
        <w:t xml:space="preserve">= 0, </w:t>
      </w:r>
      <w:r w:rsidR="009B0DFD" w:rsidRPr="00D43AD7">
        <w:rPr>
          <w:rFonts w:asciiTheme="minorHAnsi" w:hAnsiTheme="minorHAnsi"/>
          <w:lang w:eastAsia="ja-JP"/>
        </w:rPr>
        <w:t xml:space="preserve"> </w:t>
      </w:r>
      <w:r w:rsidR="009B0DFD" w:rsidRPr="00D43AD7">
        <w:rPr>
          <w:rFonts w:asciiTheme="minorHAnsi" w:hAnsiTheme="minorHAnsi"/>
          <w:lang w:eastAsia="ja-JP"/>
        </w:rPr>
        <w:sym w:font="Symbol" w:char="F073"/>
      </w:r>
      <w:r w:rsidR="009B0DFD" w:rsidRPr="00D43AD7">
        <w:rPr>
          <w:rFonts w:asciiTheme="minorHAnsi" w:hAnsiTheme="minorHAnsi"/>
          <w:lang w:eastAsia="ja-JP"/>
        </w:rPr>
        <w:t xml:space="preserve"> </w:t>
      </w:r>
      <w:r w:rsidR="009B0DFD" w:rsidRPr="00EE51A3">
        <w:t>= 2 dB). During the discussion in RAN4 #90 bis and RAN4 #91 the question was raised how this RSRP error correlate</w:t>
      </w:r>
      <w:r w:rsidR="003A3639">
        <w:t>s</w:t>
      </w:r>
      <w:r w:rsidR="009B0DFD" w:rsidRPr="00EE51A3">
        <w:t xml:space="preserve"> to (UE) SNR</w:t>
      </w:r>
      <w:r w:rsidR="00EE51A3" w:rsidRPr="00EE51A3">
        <w:t xml:space="preserve">. Elaboration on available SNR in the test chamber was </w:t>
      </w:r>
      <w:r w:rsidR="002471DF">
        <w:t>done</w:t>
      </w:r>
      <w:r w:rsidR="00EE51A3" w:rsidRPr="00EE51A3">
        <w:t xml:space="preserve"> in </w:t>
      </w:r>
      <w:r w:rsidR="00EE51A3">
        <w:fldChar w:fldCharType="begin"/>
      </w:r>
      <w:r w:rsidR="00EE51A3">
        <w:instrText xml:space="preserve"> REF _Ref16164307 \r \h </w:instrText>
      </w:r>
      <w:r w:rsidR="00EE51A3">
        <w:fldChar w:fldCharType="separate"/>
      </w:r>
      <w:r w:rsidR="00F435CE">
        <w:t>[8]</w:t>
      </w:r>
      <w:r w:rsidR="00EE51A3">
        <w:fldChar w:fldCharType="end"/>
      </w:r>
      <w:r w:rsidR="00EE51A3">
        <w:t xml:space="preserve"> w</w:t>
      </w:r>
      <w:r w:rsidR="00EE51A3" w:rsidRPr="00EE51A3">
        <w:t>here it was concluded that</w:t>
      </w:r>
      <w:r w:rsidR="00EE51A3">
        <w:t>:</w:t>
      </w:r>
      <w:r w:rsidR="00EE51A3" w:rsidRPr="00EE51A3">
        <w:t xml:space="preserve"> </w:t>
      </w:r>
      <w:r w:rsidR="00EE51A3">
        <w:t>“The SNR conditions for the definition of the beam correspondence tolerance requirement are in the range of -6.0 dB to 19.4 dB”.</w:t>
      </w:r>
      <w:r w:rsidR="00273DEB">
        <w:t xml:space="preserve"> We will look further into the </w:t>
      </w:r>
      <w:r w:rsidR="00CB7F2B">
        <w:t>relation</w:t>
      </w:r>
      <w:r w:rsidR="00273DEB">
        <w:t xml:space="preserve"> between RSRP error and SNR</w:t>
      </w:r>
      <w:r w:rsidR="00CB7F2B">
        <w:t xml:space="preserve"> </w:t>
      </w:r>
      <w:r w:rsidR="00114D8F">
        <w:t>and</w:t>
      </w:r>
      <w:r w:rsidR="00CB7F2B">
        <w:t xml:space="preserve"> look at the dependency of number of available DL synchronization </w:t>
      </w:r>
      <w:r w:rsidR="007B47C9">
        <w:t>resource elements</w:t>
      </w:r>
      <w:r w:rsidR="00E2597E">
        <w:t xml:space="preserve"> </w:t>
      </w:r>
      <w:r w:rsidR="00EF545F">
        <w:t>(REs)</w:t>
      </w:r>
      <w:r w:rsidR="00CB7F2B">
        <w:t>.</w:t>
      </w:r>
    </w:p>
    <w:p w14:paraId="4D9B74B1" w14:textId="1A50B725" w:rsidR="00A71EA9" w:rsidRPr="009323C2" w:rsidRDefault="006B74F0" w:rsidP="009323C2">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9323C2">
        <w:rPr>
          <w:rFonts w:ascii="Arial" w:hAnsi="Arial"/>
          <w:sz w:val="36"/>
          <w:lang w:eastAsia="zh-CN"/>
        </w:rPr>
        <w:t>Simulation set-up</w:t>
      </w:r>
    </w:p>
    <w:p w14:paraId="21DA6760" w14:textId="16681535" w:rsidR="00B277C2" w:rsidRDefault="007F4506" w:rsidP="00B277C2">
      <w:r>
        <w:t xml:space="preserve">In our previous paper </w:t>
      </w:r>
      <w:r w:rsidR="009B6899">
        <w:t>(</w:t>
      </w:r>
      <w:r w:rsidR="009B6899">
        <w:fldChar w:fldCharType="begin"/>
      </w:r>
      <w:r w:rsidR="009B6899">
        <w:instrText xml:space="preserve"> REF _Ref7522263 \r \h </w:instrText>
      </w:r>
      <w:r w:rsidR="009B6899">
        <w:fldChar w:fldCharType="separate"/>
      </w:r>
      <w:r w:rsidR="00F435CE">
        <w:t>[6]</w:t>
      </w:r>
      <w:r w:rsidR="009B6899">
        <w:fldChar w:fldCharType="end"/>
      </w:r>
      <w:r w:rsidR="009B6899">
        <w:t xml:space="preserve">, </w:t>
      </w:r>
      <w:r w:rsidR="009B6899">
        <w:fldChar w:fldCharType="begin"/>
      </w:r>
      <w:r w:rsidR="009B6899">
        <w:instrText xml:space="preserve"> REF _Ref16163533 \r \h </w:instrText>
      </w:r>
      <w:r w:rsidR="009B6899">
        <w:fldChar w:fldCharType="separate"/>
      </w:r>
      <w:r w:rsidR="00F435CE">
        <w:t>[7]</w:t>
      </w:r>
      <w:r w:rsidR="009B6899">
        <w:fldChar w:fldCharType="end"/>
      </w:r>
      <w:r w:rsidR="009B6899">
        <w:t xml:space="preserve">) </w:t>
      </w:r>
      <w:r>
        <w:t xml:space="preserve">we have made analysis of the variation of the RSRP error in the test chamber taking antenna pattern into account. </w:t>
      </w:r>
      <w:r w:rsidR="009B6899">
        <w:t>Remaining simulation is to correlate th</w:t>
      </w:r>
      <w:r w:rsidR="00B44BAC">
        <w:t>e</w:t>
      </w:r>
      <w:r w:rsidR="009B6899">
        <w:t xml:space="preserve"> RSRP error to an SNR. </w:t>
      </w:r>
      <w:r>
        <w:t xml:space="preserve">We have therefore simulated </w:t>
      </w:r>
      <w:r w:rsidR="00B277C2">
        <w:t xml:space="preserve">a single-antenna test probe communicating with a single-antenna device-under-test (DUT) through a pure line-of-sight (LOS) channel. For this analysis the DUT antenna is ideal and isotropic. Only one polarization mode is considered at both the test probe and the DUT. During the simulations, the receiver noise power is held </w:t>
      </w:r>
      <w:r w:rsidR="00C97B98">
        <w:t xml:space="preserve">at </w:t>
      </w:r>
      <w:r w:rsidR="00B277C2">
        <w:t xml:space="preserve">a constant level and the transmitted power is adjusted to match the target SNR level. Then, the RSRP is estimated by non-coherently averaging the estimated channel energy over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B277C2">
        <w:t xml:space="preserve"> reference </w:t>
      </w:r>
      <w:r w:rsidR="00E2597E">
        <w:t>REs</w:t>
      </w:r>
      <w:r w:rsidR="00B277C2">
        <w:t>. That is,</w:t>
      </w:r>
    </w:p>
    <w:p w14:paraId="52BC8F70" w14:textId="39BB1953" w:rsidR="00B277C2" w:rsidRDefault="00305459" w:rsidP="00B277C2">
      <w:pPr>
        <w:jc w:val="center"/>
      </w:pPr>
      <m:oMath>
        <m:acc>
          <m:accPr>
            <m:ctrlPr>
              <w:rPr>
                <w:rFonts w:ascii="Cambria Math" w:hAnsi="Cambria Math"/>
                <w:i/>
              </w:rPr>
            </m:ctrlPr>
          </m:accPr>
          <m:e>
            <m:r>
              <w:rPr>
                <w:rFonts w:ascii="Cambria Math" w:hAnsi="Cambria Math"/>
              </w:rPr>
              <m:t>RSRP</m:t>
            </m:r>
          </m:e>
        </m:acc>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ref</m:t>
                </m:r>
              </m:sub>
            </m:sSub>
          </m:den>
        </m:f>
        <m:nary>
          <m:naryPr>
            <m:chr m:val="∑"/>
            <m:limLoc m:val="undOvr"/>
            <m:ctrlPr>
              <w:rPr>
                <w:rFonts w:ascii="Cambria Math" w:hAnsi="Cambria Math"/>
                <w:i/>
              </w:rPr>
            </m:ctrlPr>
          </m:naryPr>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ref</m:t>
                </m:r>
              </m:sub>
            </m:sSub>
          </m:sup>
          <m:e>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n</m:t>
                        </m:r>
                      </m:sub>
                    </m:sSub>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e>
                </m:d>
              </m:e>
              <m:sup>
                <m:r>
                  <w:rPr>
                    <w:rFonts w:ascii="Cambria Math" w:hAnsi="Cambria Math"/>
                  </w:rPr>
                  <m:t>2</m:t>
                </m:r>
              </m:sup>
            </m:sSup>
            <m:r>
              <w:rPr>
                <w:rFonts w:ascii="Cambria Math" w:hAnsi="Cambria Math"/>
              </w:rPr>
              <m:t xml:space="preserve">  </m:t>
            </m:r>
          </m:e>
        </m:nary>
      </m:oMath>
      <w:r w:rsidR="00B277C2">
        <w:t>,</w:t>
      </w:r>
    </w:p>
    <w:p w14:paraId="26D7930E" w14:textId="59C754E0" w:rsidR="00B277C2" w:rsidRDefault="00B277C2" w:rsidP="00B277C2">
      <w:r>
        <w:t xml:space="preserve">where </w:t>
      </w:r>
      <m:oMath>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n</m:t>
                </m:r>
              </m:sub>
            </m:sSub>
            <m:r>
              <w:rPr>
                <w:rFonts w:ascii="Cambria Math" w:hAnsi="Cambria Math"/>
              </w:rPr>
              <m:t>}</m:t>
            </m:r>
          </m:e>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ref</m:t>
                </m:r>
              </m:sub>
            </m:sSub>
          </m:sup>
        </m:sSubSup>
      </m:oMath>
      <w:r>
        <w:t xml:space="preserve"> are radio channel samples, </w:t>
      </w:r>
      <m:oMath>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e>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ref</m:t>
                </m:r>
              </m:sub>
            </m:sSub>
          </m:sup>
        </m:sSubSup>
      </m:oMath>
      <w:r>
        <w:t xml:space="preserve"> are transmitted symbols fulfilling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n</m:t>
                </m:r>
              </m:sub>
            </m:sSub>
          </m:e>
        </m:d>
        <m:r>
          <w:rPr>
            <w:rFonts w:ascii="Cambria Math" w:hAnsi="Cambria Math"/>
          </w:rPr>
          <m:t>=constant</m:t>
        </m:r>
      </m:oMath>
      <w:r>
        <w:t xml:space="preserve"> for </w:t>
      </w:r>
      <m:oMath>
        <m:r>
          <w:rPr>
            <w:rFonts w:ascii="Cambria Math" w:hAnsi="Cambria Math"/>
          </w:rPr>
          <m:t>n=1,…,</m:t>
        </m:r>
        <m:sSub>
          <m:sSubPr>
            <m:ctrlPr>
              <w:rPr>
                <w:rFonts w:ascii="Cambria Math" w:hAnsi="Cambria Math"/>
                <w:i/>
              </w:rPr>
            </m:ctrlPr>
          </m:sSubPr>
          <m:e>
            <m:r>
              <w:rPr>
                <w:rFonts w:ascii="Cambria Math" w:hAnsi="Cambria Math"/>
              </w:rPr>
              <m:t>N</m:t>
            </m:r>
          </m:e>
          <m:sub>
            <m:r>
              <w:rPr>
                <w:rFonts w:ascii="Cambria Math" w:hAnsi="Cambria Math"/>
              </w:rPr>
              <m:t>ref</m:t>
            </m:r>
          </m:sub>
        </m:sSub>
      </m:oMath>
      <w:r>
        <w:t xml:space="preserve"> (i.e., QPSK symbols), and </w:t>
      </w:r>
      <m:oMath>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e>
          <m:sub>
            <m:r>
              <w:rPr>
                <w:rFonts w:ascii="Cambria Math" w:hAnsi="Cambria Math"/>
              </w:rPr>
              <m:t>n=1</m:t>
            </m:r>
          </m:sub>
          <m:sup>
            <m:sSub>
              <m:sSubPr>
                <m:ctrlPr>
                  <w:rPr>
                    <w:rFonts w:ascii="Cambria Math" w:hAnsi="Cambria Math"/>
                    <w:i/>
                  </w:rPr>
                </m:ctrlPr>
              </m:sSubPr>
              <m:e>
                <m:r>
                  <w:rPr>
                    <w:rFonts w:ascii="Cambria Math" w:hAnsi="Cambria Math"/>
                  </w:rPr>
                  <m:t>N</m:t>
                </m:r>
              </m:e>
              <m:sub>
                <m:r>
                  <w:rPr>
                    <w:rFonts w:ascii="Cambria Math" w:hAnsi="Cambria Math"/>
                  </w:rPr>
                  <m:t>ref</m:t>
                </m:r>
              </m:sub>
            </m:sSub>
          </m:sup>
        </m:sSubSup>
      </m:oMath>
      <w:r w:rsidR="00A602D8">
        <w:t xml:space="preserve"> is the receiver noise</w:t>
      </w:r>
      <w:r>
        <w:t>. Plots below are based on RSRP estimates in decibels:</w:t>
      </w:r>
    </w:p>
    <w:p w14:paraId="373151FC" w14:textId="77777777" w:rsidR="00B277C2" w:rsidRDefault="00305459" w:rsidP="00B277C2">
      <w:pPr>
        <w:jc w:val="center"/>
      </w:pPr>
      <m:oMath>
        <m:sSub>
          <m:sSubPr>
            <m:ctrlPr>
              <w:rPr>
                <w:rFonts w:ascii="Cambria Math" w:hAnsi="Cambria Math"/>
                <w:i/>
              </w:rPr>
            </m:ctrlPr>
          </m:sSubPr>
          <m:e>
            <m:acc>
              <m:accPr>
                <m:ctrlPr>
                  <w:rPr>
                    <w:rFonts w:ascii="Cambria Math" w:hAnsi="Cambria Math"/>
                    <w:i/>
                  </w:rPr>
                </m:ctrlPr>
              </m:accPr>
              <m:e>
                <m:r>
                  <w:rPr>
                    <w:rFonts w:ascii="Cambria Math" w:hAnsi="Cambria Math"/>
                  </w:rPr>
                  <m:t>RSRP</m:t>
                </m:r>
              </m:e>
            </m:acc>
          </m:e>
          <m:sub>
            <m:r>
              <w:rPr>
                <w:rFonts w:ascii="Cambria Math" w:hAnsi="Cambria Math"/>
              </w:rPr>
              <m:t>dB</m:t>
            </m:r>
          </m:sub>
        </m:sSub>
        <m:r>
          <w:rPr>
            <w:rFonts w:ascii="Cambria Math" w:hAnsi="Cambria Math"/>
          </w:rPr>
          <m:t>=10</m:t>
        </m:r>
        <m:func>
          <m:funcPr>
            <m:ctrlPr>
              <w:rPr>
                <w:rFonts w:ascii="Cambria Math" w:hAnsi="Cambria Math"/>
                <w:i/>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acc>
              <m:accPr>
                <m:ctrlPr>
                  <w:rPr>
                    <w:rFonts w:ascii="Cambria Math" w:hAnsi="Cambria Math"/>
                    <w:i/>
                  </w:rPr>
                </m:ctrlPr>
              </m:accPr>
              <m:e>
                <m:r>
                  <w:rPr>
                    <w:rFonts w:ascii="Cambria Math" w:hAnsi="Cambria Math"/>
                  </w:rPr>
                  <m:t>(RSRP</m:t>
                </m:r>
              </m:e>
            </m:acc>
          </m:e>
        </m:func>
        <m:r>
          <w:rPr>
            <w:rFonts w:ascii="Cambria Math" w:hAnsi="Cambria Math"/>
          </w:rPr>
          <m:t>)</m:t>
        </m:r>
      </m:oMath>
      <w:r w:rsidR="00B277C2">
        <w:t>.</w:t>
      </w:r>
    </w:p>
    <w:p w14:paraId="7A22F87A" w14:textId="77777777" w:rsidR="00B277C2" w:rsidRPr="00F36BEF" w:rsidRDefault="00B277C2" w:rsidP="00F36BEF">
      <w:pPr>
        <w:pStyle w:val="Heading2"/>
        <w:rPr>
          <w:b w:val="0"/>
        </w:rPr>
      </w:pPr>
      <w:r w:rsidRPr="00F36BEF">
        <w:rPr>
          <w:b w:val="0"/>
        </w:rPr>
        <w:t>Test cases</w:t>
      </w:r>
    </w:p>
    <w:p w14:paraId="167CFA6E" w14:textId="77777777" w:rsidR="008F23B8" w:rsidRDefault="008F23B8" w:rsidP="008F23B8">
      <w:r>
        <w:t xml:space="preserve">We have simulated the test cases specified in the table below. It has been assumed that one resource element (RE) is available per resource block (RB) for reference signals. Thus,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m:t>
            </m:r>
          </m:sub>
        </m:sSub>
      </m:oMath>
      <w:r>
        <w:t xml:space="preserve">. Further,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n</m:t>
                </m:r>
              </m:sub>
            </m:sSub>
          </m:e>
        </m:d>
        <m:r>
          <w:rPr>
            <w:rFonts w:ascii="Cambria Math" w:hAnsi="Cambria Math"/>
          </w:rPr>
          <m:t>=constant</m:t>
        </m:r>
      </m:oMath>
      <w:r w:rsidDel="00843412">
        <w:t xml:space="preserve"> </w:t>
      </w:r>
      <w:r>
        <w:t xml:space="preserve">for all simulations and all n, and its phase is IID across simulations. </w:t>
      </w:r>
    </w:p>
    <w:p w14:paraId="1B3F2CF8" w14:textId="77777777" w:rsidR="00D46026" w:rsidRDefault="00D46026" w:rsidP="00B277C2"/>
    <w:tbl>
      <w:tblPr>
        <w:tblStyle w:val="TableGrid"/>
        <w:tblW w:w="0" w:type="auto"/>
        <w:tblLook w:val="04A0" w:firstRow="1" w:lastRow="0" w:firstColumn="1" w:lastColumn="0" w:noHBand="0" w:noVBand="1"/>
      </w:tblPr>
      <w:tblGrid>
        <w:gridCol w:w="2265"/>
        <w:gridCol w:w="2265"/>
        <w:gridCol w:w="4238"/>
      </w:tblGrid>
      <w:tr w:rsidR="00B277C2" w14:paraId="498B2038" w14:textId="77777777" w:rsidTr="004135F0">
        <w:tc>
          <w:tcPr>
            <w:tcW w:w="2265" w:type="dxa"/>
          </w:tcPr>
          <w:p w14:paraId="5522EFCF" w14:textId="77777777" w:rsidR="00B277C2" w:rsidRPr="00AD4F9D" w:rsidRDefault="00B277C2" w:rsidP="004135F0">
            <w:pPr>
              <w:rPr>
                <w:b/>
              </w:rPr>
            </w:pPr>
            <w:r w:rsidRPr="00AD4F9D">
              <w:rPr>
                <w:b/>
              </w:rPr>
              <w:t>Environment</w:t>
            </w:r>
          </w:p>
        </w:tc>
        <w:tc>
          <w:tcPr>
            <w:tcW w:w="2265" w:type="dxa"/>
          </w:tcPr>
          <w:p w14:paraId="3856C6F2" w14:textId="77777777" w:rsidR="00B277C2" w:rsidRPr="00AD4F9D" w:rsidRDefault="00B277C2" w:rsidP="004135F0">
            <w:pPr>
              <w:rPr>
                <w:b/>
              </w:rPr>
            </w:pPr>
            <w:r w:rsidRPr="00AD4F9D">
              <w:rPr>
                <w:b/>
              </w:rPr>
              <w:t>Channel Profile</w:t>
            </w:r>
          </w:p>
        </w:tc>
        <w:tc>
          <w:tcPr>
            <w:tcW w:w="4238" w:type="dxa"/>
          </w:tcPr>
          <w:p w14:paraId="741AF738" w14:textId="77777777" w:rsidR="00B277C2" w:rsidRPr="00AD4F9D" w:rsidRDefault="00B277C2" w:rsidP="004135F0">
            <w:pPr>
              <w:rPr>
                <w:b/>
              </w:rPr>
            </w:pPr>
            <w:r w:rsidRPr="00AD4F9D">
              <w:rPr>
                <w:b/>
              </w:rPr>
              <w:t>UE testing condition</w:t>
            </w:r>
          </w:p>
        </w:tc>
      </w:tr>
      <w:tr w:rsidR="00B277C2" w:rsidRPr="005942B7" w14:paraId="37C7B622" w14:textId="77777777" w:rsidTr="004135F0">
        <w:tc>
          <w:tcPr>
            <w:tcW w:w="2265" w:type="dxa"/>
          </w:tcPr>
          <w:p w14:paraId="795FEE5D" w14:textId="77777777" w:rsidR="00B277C2" w:rsidRDefault="00B277C2" w:rsidP="004135F0">
            <w:r>
              <w:t>Free space</w:t>
            </w:r>
          </w:p>
        </w:tc>
        <w:tc>
          <w:tcPr>
            <w:tcW w:w="2265" w:type="dxa"/>
          </w:tcPr>
          <w:p w14:paraId="704866CF" w14:textId="77777777" w:rsidR="00B277C2" w:rsidRDefault="00B277C2" w:rsidP="004135F0">
            <w:r>
              <w:t>LOS</w:t>
            </w:r>
          </w:p>
        </w:tc>
        <w:tc>
          <w:tcPr>
            <w:tcW w:w="4238" w:type="dxa"/>
          </w:tcPr>
          <w:p w14:paraId="249D0B50" w14:textId="77777777" w:rsidR="00B277C2" w:rsidRDefault="00B277C2" w:rsidP="004135F0">
            <w:r>
              <w:t>Isotropic DUT antenna.</w:t>
            </w:r>
          </w:p>
        </w:tc>
      </w:tr>
    </w:tbl>
    <w:p w14:paraId="03A3076E" w14:textId="106AEBEB" w:rsidR="00F36BEF" w:rsidRDefault="00F36BEF" w:rsidP="00B277C2"/>
    <w:p w14:paraId="70E93EC1" w14:textId="77777777" w:rsidR="00F36BEF" w:rsidRDefault="00F36BEF">
      <w:r>
        <w:br w:type="page"/>
      </w:r>
    </w:p>
    <w:p w14:paraId="38F0FEC7" w14:textId="77777777" w:rsidR="00B277C2" w:rsidRDefault="00B277C2" w:rsidP="00B277C2"/>
    <w:p w14:paraId="10A81F57" w14:textId="7AD0C495" w:rsidR="00B66356" w:rsidRDefault="00B66356" w:rsidP="00B66356">
      <w:pPr>
        <w:spacing w:after="120"/>
      </w:pPr>
      <w:r>
        <w:t>Other test case parameters are as follow:</w:t>
      </w:r>
    </w:p>
    <w:tbl>
      <w:tblPr>
        <w:tblStyle w:val="TableGrid"/>
        <w:tblW w:w="9493" w:type="dxa"/>
        <w:tblLook w:val="04A0" w:firstRow="1" w:lastRow="0" w:firstColumn="1" w:lastColumn="0" w:noHBand="0" w:noVBand="1"/>
      </w:tblPr>
      <w:tblGrid>
        <w:gridCol w:w="4390"/>
        <w:gridCol w:w="4252"/>
        <w:gridCol w:w="851"/>
      </w:tblGrid>
      <w:tr w:rsidR="00B66356" w14:paraId="60EA7B7E" w14:textId="77777777" w:rsidTr="00B66356">
        <w:tc>
          <w:tcPr>
            <w:tcW w:w="4390" w:type="dxa"/>
          </w:tcPr>
          <w:p w14:paraId="1CC6FCF0" w14:textId="77777777" w:rsidR="00B66356" w:rsidRPr="00AD4F9D" w:rsidRDefault="00B66356" w:rsidP="00976ED8">
            <w:pPr>
              <w:rPr>
                <w:b/>
              </w:rPr>
            </w:pPr>
            <w:r w:rsidRPr="00AD4F9D">
              <w:rPr>
                <w:b/>
              </w:rPr>
              <w:t>Parameter</w:t>
            </w:r>
          </w:p>
        </w:tc>
        <w:tc>
          <w:tcPr>
            <w:tcW w:w="4252" w:type="dxa"/>
          </w:tcPr>
          <w:p w14:paraId="18E23CBC" w14:textId="77777777" w:rsidR="00B66356" w:rsidRPr="00AD4F9D" w:rsidRDefault="00B66356" w:rsidP="00976ED8">
            <w:pPr>
              <w:rPr>
                <w:b/>
              </w:rPr>
            </w:pPr>
            <w:r w:rsidRPr="00AD4F9D">
              <w:rPr>
                <w:b/>
              </w:rPr>
              <w:t>Value</w:t>
            </w:r>
          </w:p>
        </w:tc>
        <w:tc>
          <w:tcPr>
            <w:tcW w:w="851" w:type="dxa"/>
          </w:tcPr>
          <w:p w14:paraId="3A40BEF4" w14:textId="77777777" w:rsidR="00B66356" w:rsidRPr="00AD4F9D" w:rsidRDefault="00B66356" w:rsidP="00976ED8">
            <w:pPr>
              <w:rPr>
                <w:b/>
              </w:rPr>
            </w:pPr>
            <w:r>
              <w:rPr>
                <w:b/>
              </w:rPr>
              <w:t>Units</w:t>
            </w:r>
          </w:p>
        </w:tc>
      </w:tr>
      <w:tr w:rsidR="00B66356" w14:paraId="36374B5C" w14:textId="77777777" w:rsidTr="00B66356">
        <w:tc>
          <w:tcPr>
            <w:tcW w:w="4390" w:type="dxa"/>
          </w:tcPr>
          <w:p w14:paraId="1E907D59" w14:textId="77777777" w:rsidR="00B66356" w:rsidRDefault="00B66356" w:rsidP="00976ED8">
            <w:r>
              <w:t>Number of simulations</w:t>
            </w:r>
          </w:p>
        </w:tc>
        <w:tc>
          <w:tcPr>
            <w:tcW w:w="4252" w:type="dxa"/>
          </w:tcPr>
          <w:p w14:paraId="28257A61" w14:textId="77777777" w:rsidR="00B66356" w:rsidRDefault="00B66356" w:rsidP="00976ED8">
            <w:r>
              <w:t>10000</w:t>
            </w:r>
          </w:p>
        </w:tc>
        <w:tc>
          <w:tcPr>
            <w:tcW w:w="851" w:type="dxa"/>
          </w:tcPr>
          <w:p w14:paraId="40D493CF" w14:textId="77777777" w:rsidR="00B66356" w:rsidRDefault="00B66356" w:rsidP="00976ED8">
            <w:r>
              <w:t>-</w:t>
            </w:r>
          </w:p>
        </w:tc>
      </w:tr>
      <w:tr w:rsidR="00B66356" w14:paraId="2D7E5511" w14:textId="77777777" w:rsidTr="00B66356">
        <w:tc>
          <w:tcPr>
            <w:tcW w:w="4390" w:type="dxa"/>
          </w:tcPr>
          <w:p w14:paraId="0252D620" w14:textId="77777777" w:rsidR="00B66356" w:rsidRDefault="00B66356" w:rsidP="00976ED8">
            <w:r>
              <w:t>Number of rotation steps in azimuth</w:t>
            </w:r>
          </w:p>
        </w:tc>
        <w:tc>
          <w:tcPr>
            <w:tcW w:w="4252" w:type="dxa"/>
          </w:tcPr>
          <w:p w14:paraId="3EED4AF6" w14:textId="77777777" w:rsidR="00B66356" w:rsidRDefault="00B66356" w:rsidP="00976ED8">
            <w:r>
              <w:t>1</w:t>
            </w:r>
          </w:p>
        </w:tc>
        <w:tc>
          <w:tcPr>
            <w:tcW w:w="851" w:type="dxa"/>
          </w:tcPr>
          <w:p w14:paraId="3061A832" w14:textId="77777777" w:rsidR="00B66356" w:rsidRDefault="00B66356" w:rsidP="00976ED8">
            <w:r>
              <w:t>-</w:t>
            </w:r>
          </w:p>
        </w:tc>
      </w:tr>
      <w:tr w:rsidR="00B66356" w14:paraId="6E0642A3" w14:textId="77777777" w:rsidTr="00B66356">
        <w:tc>
          <w:tcPr>
            <w:tcW w:w="4390" w:type="dxa"/>
          </w:tcPr>
          <w:p w14:paraId="62922AEA" w14:textId="77777777" w:rsidR="00B66356" w:rsidRDefault="00B66356" w:rsidP="00976ED8">
            <w:r>
              <w:t>Number of resource blocks</w:t>
            </w:r>
          </w:p>
        </w:tc>
        <w:tc>
          <w:tcPr>
            <w:tcW w:w="4252" w:type="dxa"/>
          </w:tcPr>
          <w:p w14:paraId="1C8546A0" w14:textId="77777777" w:rsidR="00B66356" w:rsidRDefault="00B66356" w:rsidP="00976ED8">
            <w:r>
              <w:t>2, 5, 10, 20, 50, 100, or 400</w:t>
            </w:r>
          </w:p>
        </w:tc>
        <w:tc>
          <w:tcPr>
            <w:tcW w:w="851" w:type="dxa"/>
          </w:tcPr>
          <w:p w14:paraId="3FF32604" w14:textId="77777777" w:rsidR="00B66356" w:rsidRDefault="00B66356" w:rsidP="00976ED8">
            <w:r>
              <w:t>-</w:t>
            </w:r>
          </w:p>
        </w:tc>
      </w:tr>
      <w:tr w:rsidR="00B66356" w:rsidRPr="002A115B" w14:paraId="45E3FA09" w14:textId="77777777" w:rsidTr="00B66356">
        <w:tc>
          <w:tcPr>
            <w:tcW w:w="4390" w:type="dxa"/>
          </w:tcPr>
          <w:p w14:paraId="01376998" w14:textId="77777777" w:rsidR="00B66356" w:rsidRDefault="00B66356" w:rsidP="00976ED8">
            <w:r>
              <w:t>Number of reference signals per resource block</w:t>
            </w:r>
          </w:p>
        </w:tc>
        <w:tc>
          <w:tcPr>
            <w:tcW w:w="4252" w:type="dxa"/>
          </w:tcPr>
          <w:p w14:paraId="45DAA1CB" w14:textId="77777777" w:rsidR="00B66356" w:rsidRDefault="00B66356" w:rsidP="00976ED8">
            <w:r>
              <w:t>1</w:t>
            </w:r>
          </w:p>
        </w:tc>
        <w:tc>
          <w:tcPr>
            <w:tcW w:w="851" w:type="dxa"/>
          </w:tcPr>
          <w:p w14:paraId="6F7DBDB7" w14:textId="77777777" w:rsidR="00B66356" w:rsidRDefault="00B66356" w:rsidP="00976ED8">
            <w:r>
              <w:t>-</w:t>
            </w:r>
          </w:p>
        </w:tc>
      </w:tr>
      <w:tr w:rsidR="00B66356" w14:paraId="62659CD0" w14:textId="77777777" w:rsidTr="00B66356">
        <w:tc>
          <w:tcPr>
            <w:tcW w:w="4390" w:type="dxa"/>
          </w:tcPr>
          <w:p w14:paraId="55FBFC1E" w14:textId="77777777" w:rsidR="00B66356" w:rsidRDefault="00B66356" w:rsidP="00976ED8">
            <w:r>
              <w:t>Number of samples for (non-coherent) averaging</w:t>
            </w:r>
          </w:p>
        </w:tc>
        <w:tc>
          <w:tcPr>
            <w:tcW w:w="4252" w:type="dxa"/>
          </w:tcPr>
          <w:p w14:paraId="3F03E45D" w14:textId="77777777" w:rsidR="00B66356" w:rsidRDefault="00B66356" w:rsidP="00976ED8">
            <w:pPr>
              <w:tabs>
                <w:tab w:val="left" w:pos="1878"/>
              </w:tabs>
            </w:pPr>
            <w:r>
              <w:t>2, 5, 10, 20, 50, 100, or 400</w:t>
            </w:r>
            <w:r>
              <w:tab/>
            </w:r>
          </w:p>
        </w:tc>
        <w:tc>
          <w:tcPr>
            <w:tcW w:w="851" w:type="dxa"/>
          </w:tcPr>
          <w:p w14:paraId="135C98FB" w14:textId="77777777" w:rsidR="00B66356" w:rsidRDefault="00B66356" w:rsidP="00976ED8">
            <w:r>
              <w:t>-</w:t>
            </w:r>
          </w:p>
        </w:tc>
      </w:tr>
      <w:tr w:rsidR="00B66356" w14:paraId="07DCEDAD" w14:textId="77777777" w:rsidTr="00B66356">
        <w:tc>
          <w:tcPr>
            <w:tcW w:w="4390" w:type="dxa"/>
          </w:tcPr>
          <w:p w14:paraId="6F3DCA46" w14:textId="77777777" w:rsidR="00B66356" w:rsidRDefault="00B66356" w:rsidP="00976ED8">
            <w:r>
              <w:t>Subcarrier separation</w:t>
            </w:r>
          </w:p>
        </w:tc>
        <w:tc>
          <w:tcPr>
            <w:tcW w:w="4252" w:type="dxa"/>
          </w:tcPr>
          <w:p w14:paraId="3085E328" w14:textId="77777777" w:rsidR="00B66356" w:rsidRDefault="00B66356" w:rsidP="00976ED8">
            <w:pPr>
              <w:tabs>
                <w:tab w:val="left" w:pos="1878"/>
              </w:tabs>
            </w:pPr>
            <w:r>
              <w:t>120</w:t>
            </w:r>
          </w:p>
        </w:tc>
        <w:tc>
          <w:tcPr>
            <w:tcW w:w="851" w:type="dxa"/>
          </w:tcPr>
          <w:p w14:paraId="1B683599" w14:textId="77777777" w:rsidR="00B66356" w:rsidRDefault="00B66356" w:rsidP="00976ED8">
            <w:proofErr w:type="spellStart"/>
            <w:r>
              <w:t>KHz</w:t>
            </w:r>
            <w:proofErr w:type="spellEnd"/>
          </w:p>
        </w:tc>
      </w:tr>
      <w:tr w:rsidR="00B66356" w14:paraId="1F5F4C24" w14:textId="77777777" w:rsidTr="00B66356">
        <w:tc>
          <w:tcPr>
            <w:tcW w:w="4390" w:type="dxa"/>
          </w:tcPr>
          <w:p w14:paraId="4196B713" w14:textId="77777777" w:rsidR="00B66356" w:rsidRDefault="00B66356" w:rsidP="00976ED8">
            <w:r>
              <w:t>Bandwidth</w:t>
            </w:r>
          </w:p>
        </w:tc>
        <w:tc>
          <w:tcPr>
            <w:tcW w:w="4252" w:type="dxa"/>
          </w:tcPr>
          <w:p w14:paraId="4DFA3AB4" w14:textId="77777777" w:rsidR="00B66356" w:rsidRDefault="00B66356" w:rsidP="00976ED8">
            <w:pPr>
              <w:tabs>
                <w:tab w:val="left" w:pos="1878"/>
              </w:tabs>
            </w:pPr>
            <w:r>
              <w:t xml:space="preserve">2.88, 7.2, </w:t>
            </w:r>
            <w:proofErr w:type="gramStart"/>
            <w:r>
              <w:t>14.4 ,</w:t>
            </w:r>
            <w:proofErr w:type="gramEnd"/>
            <w:r>
              <w:t xml:space="preserve"> 28.8, 72, 144, or 576</w:t>
            </w:r>
          </w:p>
        </w:tc>
        <w:tc>
          <w:tcPr>
            <w:tcW w:w="851" w:type="dxa"/>
          </w:tcPr>
          <w:p w14:paraId="13AAED53" w14:textId="77777777" w:rsidR="00B66356" w:rsidRDefault="00B66356" w:rsidP="00976ED8">
            <w:r>
              <w:t>MHz</w:t>
            </w:r>
          </w:p>
        </w:tc>
      </w:tr>
      <w:tr w:rsidR="00B66356" w14:paraId="6727BA85" w14:textId="77777777" w:rsidTr="00B66356">
        <w:tc>
          <w:tcPr>
            <w:tcW w:w="4390" w:type="dxa"/>
          </w:tcPr>
          <w:p w14:paraId="25F8C364" w14:textId="77777777" w:rsidR="00B66356" w:rsidRDefault="00B66356" w:rsidP="00976ED8">
            <w:r>
              <w:t>SNR</w:t>
            </w:r>
          </w:p>
        </w:tc>
        <w:tc>
          <w:tcPr>
            <w:tcW w:w="4252" w:type="dxa"/>
          </w:tcPr>
          <w:p w14:paraId="536CA3A7" w14:textId="77777777" w:rsidR="00B66356" w:rsidRDefault="00B66356" w:rsidP="00976ED8">
            <w:r>
              <w:t>-</w:t>
            </w:r>
            <w:proofErr w:type="gramStart"/>
            <w:r>
              <w:t>10,-</w:t>
            </w:r>
            <w:proofErr w:type="gramEnd"/>
            <w:r>
              <w:t>9,…,19,20</w:t>
            </w:r>
          </w:p>
        </w:tc>
        <w:tc>
          <w:tcPr>
            <w:tcW w:w="851" w:type="dxa"/>
          </w:tcPr>
          <w:p w14:paraId="09CF0CB9" w14:textId="77777777" w:rsidR="00B66356" w:rsidRDefault="00B66356" w:rsidP="00976ED8">
            <w:r>
              <w:t>dB</w:t>
            </w:r>
          </w:p>
        </w:tc>
      </w:tr>
      <w:tr w:rsidR="00B66356" w14:paraId="4A2E8DE7" w14:textId="77777777" w:rsidTr="00B66356">
        <w:tc>
          <w:tcPr>
            <w:tcW w:w="4390" w:type="dxa"/>
          </w:tcPr>
          <w:p w14:paraId="7A2B6BAF" w14:textId="77777777" w:rsidR="00B66356" w:rsidRDefault="00B66356" w:rsidP="00976ED8">
            <w:r>
              <w:t>Number of UE beams</w:t>
            </w:r>
          </w:p>
        </w:tc>
        <w:tc>
          <w:tcPr>
            <w:tcW w:w="4252" w:type="dxa"/>
          </w:tcPr>
          <w:p w14:paraId="6ECF23F0" w14:textId="77777777" w:rsidR="00B66356" w:rsidRDefault="00B66356" w:rsidP="00976ED8">
            <w:r>
              <w:t>1</w:t>
            </w:r>
          </w:p>
        </w:tc>
        <w:tc>
          <w:tcPr>
            <w:tcW w:w="851" w:type="dxa"/>
          </w:tcPr>
          <w:p w14:paraId="1BA2A8B3" w14:textId="77777777" w:rsidR="00B66356" w:rsidRDefault="00B66356" w:rsidP="00976ED8">
            <w:r>
              <w:t>-</w:t>
            </w:r>
          </w:p>
        </w:tc>
      </w:tr>
      <w:tr w:rsidR="00B66356" w14:paraId="5F48B1EE" w14:textId="77777777" w:rsidTr="00B66356">
        <w:trPr>
          <w:trHeight w:val="94"/>
        </w:trPr>
        <w:tc>
          <w:tcPr>
            <w:tcW w:w="4390" w:type="dxa"/>
          </w:tcPr>
          <w:p w14:paraId="7706BD91" w14:textId="77777777" w:rsidR="00B66356" w:rsidRDefault="00B66356" w:rsidP="00976ED8">
            <w:r>
              <w:t>UE beams type</w:t>
            </w:r>
          </w:p>
        </w:tc>
        <w:tc>
          <w:tcPr>
            <w:tcW w:w="4252" w:type="dxa"/>
          </w:tcPr>
          <w:p w14:paraId="58A35E08" w14:textId="77777777" w:rsidR="00B66356" w:rsidRDefault="00B66356" w:rsidP="00976ED8">
            <w:r>
              <w:t>Single-polarized, isotropic</w:t>
            </w:r>
          </w:p>
        </w:tc>
        <w:tc>
          <w:tcPr>
            <w:tcW w:w="851" w:type="dxa"/>
          </w:tcPr>
          <w:p w14:paraId="0E5B4A93" w14:textId="77777777" w:rsidR="00B66356" w:rsidRDefault="00B66356" w:rsidP="00976ED8">
            <w:r>
              <w:t>-</w:t>
            </w:r>
          </w:p>
        </w:tc>
      </w:tr>
      <w:tr w:rsidR="00B66356" w14:paraId="0CE76715" w14:textId="77777777" w:rsidTr="00B66356">
        <w:tc>
          <w:tcPr>
            <w:tcW w:w="4390" w:type="dxa"/>
          </w:tcPr>
          <w:p w14:paraId="02DEF113" w14:textId="77777777" w:rsidR="00B66356" w:rsidRDefault="00B66356" w:rsidP="00976ED8">
            <w:r>
              <w:t>Number of BS beams</w:t>
            </w:r>
          </w:p>
        </w:tc>
        <w:tc>
          <w:tcPr>
            <w:tcW w:w="4252" w:type="dxa"/>
          </w:tcPr>
          <w:p w14:paraId="3DD311D0" w14:textId="77777777" w:rsidR="00B66356" w:rsidRDefault="00B66356" w:rsidP="00976ED8">
            <w:r>
              <w:t>1</w:t>
            </w:r>
          </w:p>
        </w:tc>
        <w:tc>
          <w:tcPr>
            <w:tcW w:w="851" w:type="dxa"/>
          </w:tcPr>
          <w:p w14:paraId="655F1CF9" w14:textId="77777777" w:rsidR="00B66356" w:rsidRDefault="00B66356" w:rsidP="00976ED8">
            <w:r>
              <w:t>-</w:t>
            </w:r>
          </w:p>
        </w:tc>
      </w:tr>
      <w:tr w:rsidR="00B66356" w14:paraId="1926C967" w14:textId="77777777" w:rsidTr="00B66356">
        <w:tc>
          <w:tcPr>
            <w:tcW w:w="4390" w:type="dxa"/>
          </w:tcPr>
          <w:p w14:paraId="246A5650" w14:textId="77777777" w:rsidR="00B66356" w:rsidRDefault="00B66356" w:rsidP="00976ED8">
            <w:r>
              <w:t>UE beams type</w:t>
            </w:r>
          </w:p>
        </w:tc>
        <w:tc>
          <w:tcPr>
            <w:tcW w:w="4252" w:type="dxa"/>
          </w:tcPr>
          <w:p w14:paraId="1E7E120E" w14:textId="77777777" w:rsidR="00B66356" w:rsidRDefault="00B66356" w:rsidP="00976ED8">
            <w:r>
              <w:t>Single-polarized, simulated</w:t>
            </w:r>
          </w:p>
        </w:tc>
        <w:tc>
          <w:tcPr>
            <w:tcW w:w="851" w:type="dxa"/>
          </w:tcPr>
          <w:p w14:paraId="65877881" w14:textId="77777777" w:rsidR="00B66356" w:rsidRDefault="00B66356" w:rsidP="00976ED8">
            <w:r>
              <w:t>-</w:t>
            </w:r>
          </w:p>
        </w:tc>
      </w:tr>
      <w:tr w:rsidR="00B66356" w14:paraId="420D4AB9" w14:textId="77777777" w:rsidTr="00B66356">
        <w:tc>
          <w:tcPr>
            <w:tcW w:w="4390" w:type="dxa"/>
          </w:tcPr>
          <w:p w14:paraId="00093469" w14:textId="77777777" w:rsidR="00B66356" w:rsidRDefault="00B66356" w:rsidP="00976ED8">
            <w:r>
              <w:t>Carrier frequency</w:t>
            </w:r>
          </w:p>
        </w:tc>
        <w:tc>
          <w:tcPr>
            <w:tcW w:w="4252" w:type="dxa"/>
          </w:tcPr>
          <w:p w14:paraId="7C2C5843" w14:textId="77777777" w:rsidR="00B66356" w:rsidRDefault="00B66356" w:rsidP="00976ED8">
            <w:r>
              <w:t>28</w:t>
            </w:r>
          </w:p>
        </w:tc>
        <w:tc>
          <w:tcPr>
            <w:tcW w:w="851" w:type="dxa"/>
          </w:tcPr>
          <w:p w14:paraId="4C43046B" w14:textId="77777777" w:rsidR="00B66356" w:rsidRDefault="00B66356" w:rsidP="00976ED8">
            <w:r>
              <w:t>GHz</w:t>
            </w:r>
          </w:p>
        </w:tc>
      </w:tr>
      <w:tr w:rsidR="00B66356" w14:paraId="0854B840" w14:textId="77777777" w:rsidTr="00B66356">
        <w:tc>
          <w:tcPr>
            <w:tcW w:w="4390" w:type="dxa"/>
          </w:tcPr>
          <w:p w14:paraId="12F86A7C" w14:textId="77777777" w:rsidR="00B66356" w:rsidRDefault="00B66356" w:rsidP="00976ED8">
            <w:r>
              <w:t>Normalized Path Gains</w:t>
            </w:r>
          </w:p>
        </w:tc>
        <w:tc>
          <w:tcPr>
            <w:tcW w:w="4252" w:type="dxa"/>
          </w:tcPr>
          <w:p w14:paraId="5F19D144" w14:textId="77777777" w:rsidR="00B66356" w:rsidRDefault="00B66356" w:rsidP="00976ED8">
            <w:r>
              <w:t>False</w:t>
            </w:r>
          </w:p>
        </w:tc>
        <w:tc>
          <w:tcPr>
            <w:tcW w:w="851" w:type="dxa"/>
          </w:tcPr>
          <w:p w14:paraId="7C7DFCB5" w14:textId="77777777" w:rsidR="00B66356" w:rsidRDefault="00B66356" w:rsidP="00976ED8">
            <w:r>
              <w:t>-</w:t>
            </w:r>
          </w:p>
        </w:tc>
      </w:tr>
    </w:tbl>
    <w:p w14:paraId="4305A43D" w14:textId="77777777" w:rsidR="00435B59" w:rsidRPr="00435B59" w:rsidRDefault="00435B59" w:rsidP="00435B59">
      <w:pPr>
        <w:pStyle w:val="BodyText"/>
      </w:pPr>
    </w:p>
    <w:p w14:paraId="0826BE15" w14:textId="7EBB8381" w:rsidR="00E04639" w:rsidRPr="00BA474A" w:rsidRDefault="00B75421" w:rsidP="00E04639">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Simulation Results</w:t>
      </w:r>
    </w:p>
    <w:p w14:paraId="127C593A" w14:textId="47AC3FE4" w:rsidR="00F02FC0" w:rsidRPr="006F4F9C" w:rsidRDefault="00F02FC0" w:rsidP="00F02FC0">
      <w:pPr>
        <w:pStyle w:val="Heading2"/>
        <w:rPr>
          <w:b w:val="0"/>
        </w:rPr>
      </w:pPr>
      <w:bookmarkStart w:id="1" w:name="_Ref536789369"/>
      <w:r w:rsidRPr="006F4F9C">
        <w:rPr>
          <w:b w:val="0"/>
        </w:rPr>
        <w:t xml:space="preserve">RSRP estimation </w:t>
      </w:r>
      <w:bookmarkEnd w:id="1"/>
      <w:r w:rsidR="00F36BEF">
        <w:rPr>
          <w:b w:val="0"/>
        </w:rPr>
        <w:t>error</w:t>
      </w:r>
    </w:p>
    <w:p w14:paraId="0F42A7B1" w14:textId="4D63B386" w:rsidR="00F36BEF" w:rsidRDefault="003A5877" w:rsidP="009F2D87">
      <w:pPr>
        <w:spacing w:after="120"/>
      </w:pPr>
      <w:r>
        <w:fldChar w:fldCharType="begin"/>
      </w:r>
      <w:r>
        <w:instrText xml:space="preserve"> REF _Ref16608918 \h </w:instrText>
      </w:r>
      <w:r>
        <w:fldChar w:fldCharType="separate"/>
      </w:r>
      <w:r w:rsidR="00F435CE">
        <w:t xml:space="preserve">Figure </w:t>
      </w:r>
      <w:r w:rsidR="00F435CE">
        <w:rPr>
          <w:noProof/>
        </w:rPr>
        <w:t>1</w:t>
      </w:r>
      <w:r>
        <w:fldChar w:fldCharType="end"/>
      </w:r>
      <w:r>
        <w:t xml:space="preserve"> </w:t>
      </w:r>
      <w:r w:rsidR="00F36BEF">
        <w:t xml:space="preserve">shows the standard deviation of the non-coherent RSRP estimator for different SNR target levels, and for different number of available reference signals,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F36BEF">
        <w:t xml:space="preserve">. </w:t>
      </w:r>
      <w:r w:rsidR="00903AD4">
        <w:t xml:space="preserve">It could be seen that </w:t>
      </w:r>
      <w:r w:rsidR="00F36BEF">
        <w:t xml:space="preserve">the standard deviation of the estimator depends on the SNR level and the </w:t>
      </w:r>
      <w:r w:rsidR="00903AD4">
        <w:t>number</w:t>
      </w:r>
      <w:r w:rsidR="00F36BEF">
        <w:t xml:space="preserve"> of reference </w:t>
      </w:r>
      <w:r w:rsidR="00903AD4">
        <w:t>REs</w:t>
      </w:r>
      <w:r w:rsidR="00F36BEF">
        <w:t xml:space="preserve"> </w:t>
      </w:r>
      <w:r w:rsidR="002A566B">
        <w:t>(</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A566B">
        <w:t>).</w:t>
      </w:r>
      <w:r w:rsidR="00F36BEF">
        <w:t xml:space="preserve"> </w:t>
      </w:r>
      <w:r w:rsidR="00903AD4">
        <w:t>E</w:t>
      </w:r>
      <w:r w:rsidR="00F36BEF">
        <w:t xml:space="preserve">xcept for very small values of SNR and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F36BEF">
        <w:t>, the standard deviation appears to be small.</w:t>
      </w:r>
      <w:r w:rsidR="002A566B">
        <w:t xml:space="preserve"> It is evident that </w:t>
      </w:r>
      <w:r w:rsidR="00F435CE">
        <w:t xml:space="preserve">a </w:t>
      </w:r>
      <w:r w:rsidR="002A566B">
        <w:t xml:space="preserve">discussion </w:t>
      </w:r>
      <w:r w:rsidR="00F435CE">
        <w:t xml:space="preserve">of </w:t>
      </w:r>
      <w:r w:rsidR="002A566B">
        <w:t>the required SNR for a BC test must also involve discussing the number of reference REs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A566B">
        <w:t>).</w:t>
      </w:r>
    </w:p>
    <w:p w14:paraId="42D6996A" w14:textId="2117DFCF" w:rsidR="00202781" w:rsidRPr="00202781" w:rsidRDefault="008D2E74" w:rsidP="009F2D87">
      <w:pPr>
        <w:pStyle w:val="Caption"/>
        <w:spacing w:after="120"/>
        <w:ind w:left="1418" w:hanging="1418"/>
      </w:pPr>
      <w:bookmarkStart w:id="2" w:name="_Ref16176405"/>
      <w:bookmarkStart w:id="3" w:name="_Ref16603025"/>
      <w:r>
        <w:t xml:space="preserve">Observation </w:t>
      </w:r>
      <w:r>
        <w:fldChar w:fldCharType="begin"/>
      </w:r>
      <w:r>
        <w:instrText xml:space="preserve"> SEQ Observation \* ARABIC </w:instrText>
      </w:r>
      <w:r>
        <w:fldChar w:fldCharType="separate"/>
      </w:r>
      <w:r w:rsidR="00F435CE">
        <w:rPr>
          <w:noProof/>
        </w:rPr>
        <w:t>1</w:t>
      </w:r>
      <w:r>
        <w:fldChar w:fldCharType="end"/>
      </w:r>
      <w:r>
        <w:tab/>
      </w:r>
      <w:bookmarkEnd w:id="2"/>
      <w:r w:rsidR="00202781">
        <w:t xml:space="preserve">The RSRP estimation accuracy is impacted by both SNR and </w:t>
      </w:r>
      <w:r w:rsidR="00F435CE">
        <w:t xml:space="preserve">the </w:t>
      </w:r>
      <w:r w:rsidR="00733FF2">
        <w:t>number of resource elements</w:t>
      </w:r>
      <w:bookmarkEnd w:id="3"/>
      <w:r w:rsidR="009F2D87">
        <w:t>.</w:t>
      </w:r>
    </w:p>
    <w:p w14:paraId="57029F3B" w14:textId="33A96316" w:rsidR="002A566B" w:rsidRPr="002A566B" w:rsidRDefault="002A566B" w:rsidP="00B44BAC">
      <w:pPr>
        <w:pStyle w:val="Caption"/>
        <w:spacing w:after="120"/>
      </w:pPr>
      <w:bookmarkStart w:id="4" w:name="_Ref16249504"/>
      <w:r>
        <w:t xml:space="preserve">Proposal </w:t>
      </w:r>
      <w:r>
        <w:fldChar w:fldCharType="begin"/>
      </w:r>
      <w:r>
        <w:instrText xml:space="preserve"> SEQ Proposal \* ARABIC </w:instrText>
      </w:r>
      <w:r>
        <w:fldChar w:fldCharType="separate"/>
      </w:r>
      <w:r w:rsidR="00F435CE">
        <w:rPr>
          <w:noProof/>
        </w:rPr>
        <w:t>1</w:t>
      </w:r>
      <w:r>
        <w:fldChar w:fldCharType="end"/>
      </w:r>
      <w:r>
        <w:tab/>
        <w:t xml:space="preserve">For BC test, RAN4 shall discuss </w:t>
      </w:r>
      <w:r w:rsidR="00B44BAC">
        <w:t xml:space="preserve">the </w:t>
      </w:r>
      <w:r>
        <w:t>number of reference REs</w:t>
      </w:r>
      <w:r w:rsidRPr="002A566B">
        <w:t xml:space="preserve"> </w:t>
      </w:r>
      <w:r>
        <w:t>in conjunction with SNR.</w:t>
      </w:r>
      <w:bookmarkEnd w:id="4"/>
    </w:p>
    <w:p w14:paraId="302F18E1" w14:textId="68519B39" w:rsidR="00225104" w:rsidRDefault="00225104" w:rsidP="00225104">
      <w:r w:rsidRPr="00225104">
        <w:rPr>
          <w:noProof/>
        </w:rPr>
        <w:lastRenderedPageBreak/>
        <w:drawing>
          <wp:inline distT="0" distB="0" distL="0" distR="0" wp14:anchorId="35FDE7D3" wp14:editId="23A8D81D">
            <wp:extent cx="5997575" cy="487680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97575" cy="4876800"/>
                    </a:xfrm>
                    <a:prstGeom prst="rect">
                      <a:avLst/>
                    </a:prstGeom>
                    <a:noFill/>
                    <a:ln>
                      <a:noFill/>
                    </a:ln>
                  </pic:spPr>
                </pic:pic>
              </a:graphicData>
            </a:graphic>
          </wp:inline>
        </w:drawing>
      </w:r>
    </w:p>
    <w:p w14:paraId="546E608A" w14:textId="1F836236" w:rsidR="009F2D87" w:rsidRDefault="009F2D87" w:rsidP="009F2D87">
      <w:pPr>
        <w:jc w:val="center"/>
      </w:pPr>
      <w:r w:rsidRPr="009F2D87">
        <w:t xml:space="preserve"> </w:t>
      </w:r>
    </w:p>
    <w:p w14:paraId="297A7C34" w14:textId="4D3B0FD9" w:rsidR="009F2D87" w:rsidRDefault="009F2D87" w:rsidP="009F2D87">
      <w:pPr>
        <w:pStyle w:val="Caption"/>
        <w:jc w:val="center"/>
      </w:pPr>
      <w:bookmarkStart w:id="5" w:name="_Ref16608918"/>
      <w:r>
        <w:t xml:space="preserve">Figure </w:t>
      </w:r>
      <w:r>
        <w:fldChar w:fldCharType="begin"/>
      </w:r>
      <w:r>
        <w:instrText xml:space="preserve"> SEQ Figure \* ARABIC </w:instrText>
      </w:r>
      <w:r>
        <w:fldChar w:fldCharType="separate"/>
      </w:r>
      <w:r w:rsidR="00F435CE">
        <w:rPr>
          <w:noProof/>
        </w:rPr>
        <w:t>1</w:t>
      </w:r>
      <w:r>
        <w:fldChar w:fldCharType="end"/>
      </w:r>
      <w:bookmarkEnd w:id="5"/>
      <w:r>
        <w:t>. Simulation on RSRP standard deviation value based on SNR.</w:t>
      </w:r>
    </w:p>
    <w:p w14:paraId="5AFBAA36" w14:textId="77777777" w:rsidR="009F2D87" w:rsidRDefault="009F2D87" w:rsidP="009F2D87"/>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3488D949" w14:textId="69B82935" w:rsidR="00C23047" w:rsidRDefault="00E06DE7" w:rsidP="00C23047">
      <w:pPr>
        <w:pStyle w:val="BodyText"/>
      </w:pPr>
      <w:r w:rsidRPr="00D43AD7">
        <w:t xml:space="preserve">In this contribution we have discussed </w:t>
      </w:r>
      <w:r w:rsidR="002A566B">
        <w:t>the relation between SNR, number of reference REs</w:t>
      </w:r>
      <w:r w:rsidR="002A566B" w:rsidRPr="002A566B">
        <w:t xml:space="preserve"> </w:t>
      </w:r>
      <w:r w:rsidR="002A566B">
        <w:t xml:space="preserve">and RSRP estimation error </w:t>
      </w:r>
      <w:r w:rsidR="00925BC8">
        <w:t xml:space="preserve">for </w:t>
      </w:r>
      <w:r w:rsidR="00D00F4B" w:rsidRPr="00D43AD7">
        <w:t>beam correspondence</w:t>
      </w:r>
      <w:r w:rsidR="00925BC8">
        <w:t>.</w:t>
      </w:r>
      <w:r w:rsidR="00C23047" w:rsidRPr="00D43AD7">
        <w:t xml:space="preserve"> We have made the following observations and proposals:</w:t>
      </w:r>
    </w:p>
    <w:p w14:paraId="6EEE60BF" w14:textId="41D8DC37" w:rsidR="009F2D87" w:rsidRPr="00337762" w:rsidRDefault="009F2D87" w:rsidP="000A4E2A">
      <w:pPr>
        <w:pStyle w:val="BodyText"/>
        <w:ind w:left="1418" w:hanging="1418"/>
        <w:rPr>
          <w:b/>
        </w:rPr>
      </w:pPr>
      <w:r w:rsidRPr="00337762">
        <w:rPr>
          <w:b/>
        </w:rPr>
        <w:fldChar w:fldCharType="begin"/>
      </w:r>
      <w:r w:rsidRPr="00337762">
        <w:rPr>
          <w:b/>
        </w:rPr>
        <w:instrText xml:space="preserve"> REF _Ref16603025 \h  \* MERGEFORMAT </w:instrText>
      </w:r>
      <w:r w:rsidRPr="00337762">
        <w:rPr>
          <w:b/>
        </w:rPr>
      </w:r>
      <w:r w:rsidRPr="00337762">
        <w:rPr>
          <w:b/>
        </w:rPr>
        <w:fldChar w:fldCharType="separate"/>
      </w:r>
      <w:r w:rsidR="00F435CE" w:rsidRPr="00F435CE">
        <w:rPr>
          <w:b/>
        </w:rPr>
        <w:t>Observation 1</w:t>
      </w:r>
      <w:r w:rsidR="00F435CE" w:rsidRPr="00F435CE">
        <w:rPr>
          <w:b/>
        </w:rPr>
        <w:tab/>
        <w:t>The RSRP estimation accuracy is impacted by both SNR and the number of resource</w:t>
      </w:r>
      <w:r w:rsidR="00F435CE">
        <w:t xml:space="preserve"> </w:t>
      </w:r>
      <w:r w:rsidR="00F435CE" w:rsidRPr="00F435CE">
        <w:rPr>
          <w:b/>
        </w:rPr>
        <w:t>elements</w:t>
      </w:r>
      <w:r w:rsidRPr="00337762">
        <w:rPr>
          <w:b/>
        </w:rPr>
        <w:fldChar w:fldCharType="end"/>
      </w:r>
      <w:r w:rsidR="003A5877">
        <w:rPr>
          <w:b/>
        </w:rPr>
        <w:t>.</w:t>
      </w:r>
      <w:bookmarkStart w:id="6" w:name="_GoBack"/>
      <w:bookmarkEnd w:id="6"/>
    </w:p>
    <w:p w14:paraId="6AC78D97" w14:textId="13005068" w:rsidR="00925BC8" w:rsidRDefault="00554C28" w:rsidP="000A4E2A">
      <w:pPr>
        <w:pStyle w:val="BodyText"/>
        <w:ind w:left="1418" w:hanging="1418"/>
        <w:rPr>
          <w:b/>
        </w:rPr>
      </w:pPr>
      <w:r w:rsidRPr="00337762">
        <w:rPr>
          <w:b/>
        </w:rPr>
        <w:fldChar w:fldCharType="begin"/>
      </w:r>
      <w:r w:rsidRPr="00337762">
        <w:rPr>
          <w:b/>
        </w:rPr>
        <w:instrText xml:space="preserve"> REF _Ref16249504 \h  \* MERGEFORMAT </w:instrText>
      </w:r>
      <w:r w:rsidRPr="00337762">
        <w:rPr>
          <w:b/>
        </w:rPr>
      </w:r>
      <w:r w:rsidRPr="00337762">
        <w:rPr>
          <w:b/>
        </w:rPr>
        <w:fldChar w:fldCharType="separate"/>
      </w:r>
      <w:r w:rsidR="00F435CE" w:rsidRPr="00F435CE">
        <w:rPr>
          <w:b/>
        </w:rPr>
        <w:t>Proposal 1</w:t>
      </w:r>
      <w:r w:rsidR="00F435CE" w:rsidRPr="00F435CE">
        <w:rPr>
          <w:b/>
        </w:rPr>
        <w:tab/>
        <w:t>For BC test, RAN4 shall discuss the number of reference REs in conjunction with SNR.</w:t>
      </w:r>
      <w:r w:rsidRPr="00337762">
        <w:rPr>
          <w:b/>
        </w:rPr>
        <w:fldChar w:fldCharType="end"/>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46E75763" w:rsidR="00E04757" w:rsidRDefault="00E04757" w:rsidP="008D1E3D">
      <w:pPr>
        <w:pStyle w:val="references"/>
        <w:numPr>
          <w:ilvl w:val="0"/>
          <w:numId w:val="7"/>
        </w:numPr>
        <w:tabs>
          <w:tab w:val="left" w:pos="1560"/>
        </w:tabs>
      </w:pPr>
      <w:bookmarkStart w:id="7" w:name="_Ref6492277"/>
      <w:bookmarkStart w:id="8" w:name="_Ref16090396"/>
      <w:bookmarkStart w:id="9" w:name="_Ref536518839"/>
      <w:bookmarkStart w:id="10" w:name="_Ref528673925"/>
      <w:bookmarkStart w:id="11" w:name="_Ref525739026"/>
      <w:bookmarkStart w:id="12" w:name="_Ref513646437"/>
      <w:bookmarkStart w:id="13" w:name="_Ref508875069"/>
      <w:bookmarkStart w:id="14" w:name="_Ref508874720"/>
      <w:bookmarkStart w:id="15" w:name="_Ref484009661"/>
      <w:bookmarkStart w:id="16" w:name="_Ref447703865"/>
      <w:bookmarkStart w:id="17" w:name="_Ref455046197"/>
      <w:bookmarkStart w:id="18" w:name="_Ref473734040"/>
      <w:bookmarkStart w:id="19" w:name="_Ref481653652"/>
      <w:bookmarkStart w:id="20" w:name="_Ref447634836"/>
      <w:bookmarkStart w:id="21" w:name="_Ref447633816"/>
      <w:r w:rsidRPr="00E04757">
        <w:t>R4-19</w:t>
      </w:r>
      <w:r w:rsidR="001A7EDA">
        <w:t>07610</w:t>
      </w:r>
      <w:r w:rsidRPr="00E04757">
        <w:t xml:space="preserve"> </w:t>
      </w:r>
      <w:r>
        <w:tab/>
        <w:t>“</w:t>
      </w:r>
      <w:r w:rsidR="001A7EDA" w:rsidRPr="001A7EDA">
        <w:t>Draft CR to TR38.810 on beam correspondence</w:t>
      </w:r>
      <w:r>
        <w:t xml:space="preserve">”, </w:t>
      </w:r>
      <w:r w:rsidRPr="00D43AD7">
        <w:rPr>
          <w:i/>
        </w:rPr>
        <w:t>Samsung</w:t>
      </w:r>
      <w:bookmarkEnd w:id="7"/>
      <w:r w:rsidR="001A7EDA">
        <w:rPr>
          <w:i/>
        </w:rPr>
        <w:t>, Apple</w:t>
      </w:r>
      <w:bookmarkEnd w:id="8"/>
    </w:p>
    <w:p w14:paraId="19E4067F" w14:textId="1820D9D9" w:rsidR="00E04757" w:rsidRPr="00DA2C29" w:rsidRDefault="00E04757" w:rsidP="008D1E3D">
      <w:pPr>
        <w:pStyle w:val="references"/>
        <w:numPr>
          <w:ilvl w:val="0"/>
          <w:numId w:val="7"/>
        </w:numPr>
        <w:tabs>
          <w:tab w:val="left" w:pos="1560"/>
        </w:tabs>
      </w:pPr>
      <w:bookmarkStart w:id="22" w:name="_Ref6492287"/>
      <w:bookmarkStart w:id="23" w:name="_Ref16090399"/>
      <w:r w:rsidRPr="00E04757">
        <w:t>R4-190</w:t>
      </w:r>
      <w:r w:rsidR="00FC739B">
        <w:t>7611</w:t>
      </w:r>
      <w:r w:rsidRPr="00E04757">
        <w:t xml:space="preserve"> </w:t>
      </w:r>
      <w:r>
        <w:tab/>
        <w:t>“</w:t>
      </w:r>
      <w:r w:rsidR="001A7EDA" w:rsidRPr="001A7EDA">
        <w:t>Draft CR to TS38.101-2 on beam correspondence</w:t>
      </w:r>
      <w:r>
        <w:t xml:space="preserve">”, </w:t>
      </w:r>
      <w:r w:rsidRPr="00D43AD7">
        <w:rPr>
          <w:i/>
        </w:rPr>
        <w:t>Samsung</w:t>
      </w:r>
      <w:bookmarkEnd w:id="22"/>
      <w:r w:rsidR="001A7EDA">
        <w:rPr>
          <w:i/>
        </w:rPr>
        <w:t>, Apple,</w:t>
      </w:r>
      <w:r w:rsidR="00FC739B">
        <w:rPr>
          <w:i/>
        </w:rPr>
        <w:t xml:space="preserve"> Verizon</w:t>
      </w:r>
      <w:bookmarkEnd w:id="23"/>
    </w:p>
    <w:p w14:paraId="3F522489" w14:textId="7C190AA9" w:rsidR="00DA2C29" w:rsidRPr="00DA2C29" w:rsidRDefault="00DA2C29" w:rsidP="008D1E3D">
      <w:pPr>
        <w:pStyle w:val="references"/>
        <w:numPr>
          <w:ilvl w:val="0"/>
          <w:numId w:val="7"/>
        </w:numPr>
        <w:tabs>
          <w:tab w:val="left" w:pos="1560"/>
        </w:tabs>
      </w:pPr>
      <w:bookmarkStart w:id="24" w:name="_Ref16090824"/>
      <w:r w:rsidRPr="00DA2C29">
        <w:t xml:space="preserve">R4-1907613 </w:t>
      </w:r>
      <w:r>
        <w:tab/>
        <w:t>“</w:t>
      </w:r>
      <w:r w:rsidRPr="00DA2C29">
        <w:t>CR to 38.817-01 to capture outcome of beam correspondence</w:t>
      </w:r>
      <w:r>
        <w:t xml:space="preserve">”, </w:t>
      </w:r>
      <w:bookmarkStart w:id="25" w:name="_Hlk16164254"/>
      <w:r w:rsidRPr="00DA2C29">
        <w:rPr>
          <w:i/>
        </w:rPr>
        <w:t>Apple Inc</w:t>
      </w:r>
      <w:bookmarkEnd w:id="24"/>
      <w:bookmarkEnd w:id="25"/>
    </w:p>
    <w:p w14:paraId="58514671" w14:textId="77777777" w:rsidR="00B062AF" w:rsidRDefault="00B062AF" w:rsidP="00B062AF">
      <w:pPr>
        <w:pStyle w:val="references"/>
        <w:numPr>
          <w:ilvl w:val="0"/>
          <w:numId w:val="7"/>
        </w:numPr>
        <w:tabs>
          <w:tab w:val="left" w:pos="1560"/>
        </w:tabs>
      </w:pPr>
      <w:bookmarkStart w:id="26" w:name="_Ref16158973"/>
      <w:r w:rsidRPr="00E04757">
        <w:t xml:space="preserve">R4-1905186 </w:t>
      </w:r>
      <w:r>
        <w:tab/>
        <w:t>“</w:t>
      </w:r>
      <w:r w:rsidRPr="00E04757">
        <w:t>Beam correspondence ad-hoc meeting minutes</w:t>
      </w:r>
      <w:r>
        <w:t xml:space="preserve">”, </w:t>
      </w:r>
      <w:r w:rsidRPr="00D43AD7">
        <w:rPr>
          <w:i/>
        </w:rPr>
        <w:t>Samsung</w:t>
      </w:r>
      <w:bookmarkEnd w:id="26"/>
    </w:p>
    <w:p w14:paraId="67BAE110" w14:textId="4ED8F1ED" w:rsidR="00DA2C29" w:rsidRPr="009323C2" w:rsidRDefault="00B062AF" w:rsidP="00294E4B">
      <w:pPr>
        <w:pStyle w:val="references"/>
        <w:numPr>
          <w:ilvl w:val="0"/>
          <w:numId w:val="7"/>
        </w:numPr>
        <w:tabs>
          <w:tab w:val="left" w:pos="1560"/>
        </w:tabs>
      </w:pPr>
      <w:bookmarkStart w:id="27" w:name="_Ref16158976"/>
      <w:r w:rsidRPr="00E04757">
        <w:t xml:space="preserve">R4-1905205 </w:t>
      </w:r>
      <w:r>
        <w:tab/>
        <w:t>“</w:t>
      </w:r>
      <w:r w:rsidRPr="00E04757">
        <w:t>Second ad-hoc MoM for beam correspondence</w:t>
      </w:r>
      <w:r>
        <w:t xml:space="preserve">”, </w:t>
      </w:r>
      <w:r w:rsidRPr="00D43AD7">
        <w:rPr>
          <w:i/>
        </w:rPr>
        <w:t>Samsung</w:t>
      </w:r>
      <w:bookmarkEnd w:id="27"/>
    </w:p>
    <w:p w14:paraId="347C5319" w14:textId="3B81F556" w:rsidR="00294E4B" w:rsidRDefault="009323C2" w:rsidP="00294E4B">
      <w:pPr>
        <w:pStyle w:val="references"/>
        <w:numPr>
          <w:ilvl w:val="0"/>
          <w:numId w:val="7"/>
        </w:numPr>
        <w:tabs>
          <w:tab w:val="left" w:pos="1560"/>
        </w:tabs>
      </w:pPr>
      <w:bookmarkStart w:id="28" w:name="_Ref7522263"/>
      <w:r w:rsidRPr="009323C2">
        <w:t>R4-1904237</w:t>
      </w:r>
      <w:r>
        <w:tab/>
        <w:t>“</w:t>
      </w:r>
      <w:r w:rsidRPr="009323C2">
        <w:t>Beam Correspondence, remaining X and Y</w:t>
      </w:r>
      <w:r>
        <w:t xml:space="preserve">”, </w:t>
      </w:r>
      <w:r w:rsidRPr="00D43AD7">
        <w:rPr>
          <w:i/>
        </w:rPr>
        <w:t>Sony</w:t>
      </w:r>
      <w:r>
        <w:rPr>
          <w:i/>
        </w:rPr>
        <w:t>, Ericsson</w:t>
      </w:r>
      <w:bookmarkEnd w:id="28"/>
    </w:p>
    <w:p w14:paraId="03ADB458" w14:textId="04237A6A" w:rsidR="00294E4B" w:rsidRPr="00EE51A3" w:rsidRDefault="00294E4B" w:rsidP="00294E4B">
      <w:pPr>
        <w:pStyle w:val="references"/>
        <w:numPr>
          <w:ilvl w:val="0"/>
          <w:numId w:val="7"/>
        </w:numPr>
        <w:tabs>
          <w:tab w:val="left" w:pos="1560"/>
        </w:tabs>
      </w:pPr>
      <w:bookmarkStart w:id="29" w:name="_Ref16163533"/>
      <w:r w:rsidRPr="00294E4B">
        <w:t>R4-1906330</w:t>
      </w:r>
      <w:r>
        <w:tab/>
        <w:t>“</w:t>
      </w:r>
      <w:r w:rsidRPr="00294E4B">
        <w:t>Beam Correspondence, remaining X and Y</w:t>
      </w:r>
      <w:r>
        <w:t xml:space="preserve">”, </w:t>
      </w:r>
      <w:r w:rsidRPr="00D43AD7">
        <w:rPr>
          <w:i/>
        </w:rPr>
        <w:t>Sony</w:t>
      </w:r>
      <w:r>
        <w:rPr>
          <w:i/>
        </w:rPr>
        <w:t>, Ericsson</w:t>
      </w:r>
      <w:bookmarkEnd w:id="29"/>
    </w:p>
    <w:p w14:paraId="601BE31D" w14:textId="45C5B1AE" w:rsidR="00EE51A3" w:rsidRPr="00294E4B" w:rsidRDefault="00EE51A3" w:rsidP="00294E4B">
      <w:pPr>
        <w:pStyle w:val="references"/>
        <w:numPr>
          <w:ilvl w:val="0"/>
          <w:numId w:val="7"/>
        </w:numPr>
        <w:tabs>
          <w:tab w:val="left" w:pos="1560"/>
        </w:tabs>
      </w:pPr>
      <w:bookmarkStart w:id="30" w:name="_Ref16164307"/>
      <w:r w:rsidRPr="00EE51A3">
        <w:t>R4-1907612</w:t>
      </w:r>
      <w:r>
        <w:tab/>
        <w:t>“</w:t>
      </w:r>
      <w:r w:rsidRPr="00EE51A3">
        <w:t>Remaining issues with the beam correspondence requirement</w:t>
      </w:r>
      <w:r>
        <w:t xml:space="preserve">”, </w:t>
      </w:r>
      <w:r w:rsidRPr="00DA2C29">
        <w:rPr>
          <w:i/>
        </w:rPr>
        <w:t>Apple Inc</w:t>
      </w:r>
      <w:r>
        <w:rPr>
          <w:i/>
        </w:rPr>
        <w:t>.</w:t>
      </w:r>
      <w:bookmarkEnd w:id="30"/>
    </w:p>
    <w:p w14:paraId="6E49F809" w14:textId="6E8EB864" w:rsidR="003C28A3" w:rsidRPr="00D43AD7" w:rsidRDefault="003C28A3" w:rsidP="00337762">
      <w:pPr>
        <w:pStyle w:val="references"/>
        <w:numPr>
          <w:ilvl w:val="0"/>
          <w:numId w:val="0"/>
        </w:numPr>
        <w:tabs>
          <w:tab w:val="left" w:pos="1560"/>
        </w:tabs>
        <w:ind w:left="360"/>
      </w:pPr>
      <w:bookmarkStart w:id="31" w:name="_Ref536518865"/>
      <w:bookmarkEnd w:id="9"/>
    </w:p>
    <w:bookmarkEnd w:id="10"/>
    <w:bookmarkEnd w:id="11"/>
    <w:bookmarkEnd w:id="12"/>
    <w:bookmarkEnd w:id="13"/>
    <w:bookmarkEnd w:id="14"/>
    <w:bookmarkEnd w:id="31"/>
    <w:p w14:paraId="3E820DCA" w14:textId="1E639E3B" w:rsidR="00D604D3" w:rsidRPr="00D43AD7" w:rsidRDefault="00D604D3" w:rsidP="00C23047">
      <w:pPr>
        <w:pStyle w:val="references"/>
        <w:numPr>
          <w:ilvl w:val="0"/>
          <w:numId w:val="0"/>
        </w:numPr>
        <w:tabs>
          <w:tab w:val="left" w:pos="1560"/>
        </w:tabs>
        <w:ind w:left="360"/>
      </w:pPr>
    </w:p>
    <w:bookmarkEnd w:id="15"/>
    <w:bookmarkEnd w:id="16"/>
    <w:bookmarkEnd w:id="17"/>
    <w:bookmarkEnd w:id="18"/>
    <w:bookmarkEnd w:id="19"/>
    <w:bookmarkEnd w:id="20"/>
    <w:bookmarkEnd w:id="21"/>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D1B5A" w14:textId="77777777" w:rsidR="00305459" w:rsidRDefault="00305459">
      <w:r>
        <w:separator/>
      </w:r>
    </w:p>
  </w:endnote>
  <w:endnote w:type="continuationSeparator" w:id="0">
    <w:p w14:paraId="5982D5D2" w14:textId="77777777" w:rsidR="00305459" w:rsidRDefault="00305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623D9" w14:textId="77777777" w:rsidR="00305459" w:rsidRDefault="00305459">
      <w:r>
        <w:separator/>
      </w:r>
    </w:p>
  </w:footnote>
  <w:footnote w:type="continuationSeparator" w:id="0">
    <w:p w14:paraId="1155D59C" w14:textId="77777777" w:rsidR="00305459" w:rsidRDefault="00305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2"/>
  </w:num>
  <w:num w:numId="6">
    <w:abstractNumId w:val="10"/>
  </w:num>
  <w:num w:numId="7">
    <w:abstractNumId w:val="11"/>
  </w:num>
  <w:num w:numId="8">
    <w:abstractNumId w:val="1"/>
  </w:num>
  <w:num w:numId="9">
    <w:abstractNumId w:val="7"/>
  </w:num>
  <w:num w:numId="10">
    <w:abstractNumId w:val="8"/>
  </w:num>
  <w:num w:numId="11">
    <w:abstractNumId w:val="9"/>
  </w:num>
  <w:num w:numId="12">
    <w:abstractNumId w:val="3"/>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4"/>
  </w:num>
  <w:num w:numId="21">
    <w:abstractNumId w:val="1"/>
  </w:num>
  <w:num w:numId="22">
    <w:abstractNumId w:val="1"/>
  </w:num>
  <w:num w:numId="23">
    <w:abstractNumId w:val="1"/>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3DC"/>
    <w:rsid w:val="003037C0"/>
    <w:rsid w:val="00304A6A"/>
    <w:rsid w:val="0030509C"/>
    <w:rsid w:val="00305459"/>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3EDA"/>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E8C"/>
    <w:rsid w:val="003A3EE9"/>
    <w:rsid w:val="003A403F"/>
    <w:rsid w:val="003A49AB"/>
    <w:rsid w:val="003A5877"/>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57C0B"/>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4076"/>
    <w:rsid w:val="00CA4245"/>
    <w:rsid w:val="00CA48CE"/>
    <w:rsid w:val="00CA4940"/>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363"/>
    <w:rsid w:val="00D466E4"/>
    <w:rsid w:val="00D470D6"/>
    <w:rsid w:val="00D472DF"/>
    <w:rsid w:val="00D47713"/>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5CE"/>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7F46B-6759-4D56-B37E-DF70AF71E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4</cp:revision>
  <cp:lastPrinted>2017-08-10T13:20:00Z</cp:lastPrinted>
  <dcterms:created xsi:type="dcterms:W3CDTF">2019-08-16T07:30:00Z</dcterms:created>
  <dcterms:modified xsi:type="dcterms:W3CDTF">2019-08-16T15:11:00Z</dcterms:modified>
</cp:coreProperties>
</file>